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147"/>
        <w:gridCol w:w="6213"/>
      </w:tblGrid>
      <w:tr w:rsidR="48210A6B" w14:paraId="78AE874F" w14:textId="77777777" w:rsidTr="33E20BB8">
        <w:trPr>
          <w:trHeight w:val="300"/>
          <w:jc w:val="center"/>
        </w:trPr>
        <w:tc>
          <w:tcPr>
            <w:tcW w:w="9445" w:type="dxa"/>
            <w:gridSpan w:val="2"/>
          </w:tcPr>
          <w:p w14:paraId="29061666" w14:textId="2034944D" w:rsidR="48210A6B" w:rsidRDefault="00270BE3" w:rsidP="00861DAB">
            <w:pPr>
              <w:spacing w:line="259" w:lineRule="auto"/>
              <w:ind w:left="-20" w:right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Response to</w:t>
            </w:r>
            <w:r w:rsidR="00794A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Document Request</w:t>
            </w:r>
          </w:p>
          <w:p w14:paraId="0349A659" w14:textId="288B4839" w:rsidR="00F83F93" w:rsidRDefault="00F83F93" w:rsidP="00861DAB">
            <w:pPr>
              <w:spacing w:line="259" w:lineRule="auto"/>
              <w:ind w:left="-20" w:right="24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Employee Retention Credits</w:t>
            </w:r>
          </w:p>
          <w:p w14:paraId="26AC9586" w14:textId="7D3C9211" w:rsidR="48210A6B" w:rsidRDefault="48210A6B" w:rsidP="00861DAB">
            <w:pPr>
              <w:spacing w:line="259" w:lineRule="auto"/>
              <w:ind w:left="-20" w:right="24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8210A6B" w14:paraId="4794863E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45F7722E" w14:textId="62FFCAAE" w:rsidR="48210A6B" w:rsidRDefault="48210A6B" w:rsidP="00861DAB">
            <w:pPr>
              <w:spacing w:line="259" w:lineRule="auto"/>
              <w:ind w:left="-20" w:right="24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8210A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Employer Information</w:t>
            </w:r>
          </w:p>
        </w:tc>
      </w:tr>
      <w:tr w:rsidR="48210A6B" w14:paraId="1A50DC4B" w14:textId="77777777" w:rsidTr="33E20BB8">
        <w:trPr>
          <w:trHeight w:val="300"/>
          <w:jc w:val="center"/>
        </w:trPr>
        <w:tc>
          <w:tcPr>
            <w:tcW w:w="3175" w:type="dxa"/>
            <w:shd w:val="clear" w:color="auto" w:fill="F2F2F2" w:themeFill="background1" w:themeFillShade="F2"/>
          </w:tcPr>
          <w:p w14:paraId="464BEE95" w14:textId="6388E8AF" w:rsidR="48210A6B" w:rsidRDefault="48210A6B" w:rsidP="00861DAB">
            <w:pPr>
              <w:spacing w:line="259" w:lineRule="auto"/>
              <w:ind w:left="-20"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5A242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Name:</w:t>
            </w:r>
          </w:p>
        </w:tc>
        <w:tc>
          <w:tcPr>
            <w:tcW w:w="6270" w:type="dxa"/>
            <w:shd w:val="clear" w:color="auto" w:fill="FFFFFF" w:themeFill="background1"/>
          </w:tcPr>
          <w:p w14:paraId="25BF3D03" w14:textId="0A114987" w:rsidR="48210A6B" w:rsidRPr="009744B2" w:rsidRDefault="48210A6B" w:rsidP="00861DAB">
            <w:pPr>
              <w:spacing w:line="259" w:lineRule="auto"/>
              <w:ind w:left="-20"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8210A6B" w14:paraId="75406251" w14:textId="77777777" w:rsidTr="33E20BB8">
        <w:trPr>
          <w:trHeight w:val="300"/>
          <w:jc w:val="center"/>
        </w:trPr>
        <w:tc>
          <w:tcPr>
            <w:tcW w:w="3175" w:type="dxa"/>
            <w:shd w:val="clear" w:color="auto" w:fill="F2F2F2" w:themeFill="background1" w:themeFillShade="F2"/>
          </w:tcPr>
          <w:p w14:paraId="69CB718A" w14:textId="4FA3C805" w:rsidR="48210A6B" w:rsidRDefault="48210A6B" w:rsidP="00861DAB">
            <w:pPr>
              <w:spacing w:line="259" w:lineRule="auto"/>
              <w:ind w:left="-20"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5A242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Address</w:t>
            </w:r>
            <w:r w:rsidR="00270B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70" w:type="dxa"/>
          </w:tcPr>
          <w:p w14:paraId="0C672EBE" w14:textId="543E72D8" w:rsidR="48210A6B" w:rsidRPr="009744B2" w:rsidRDefault="48210A6B" w:rsidP="00861DAB">
            <w:pPr>
              <w:spacing w:line="259" w:lineRule="auto"/>
              <w:ind w:left="-20" w:right="241"/>
              <w:jc w:val="both"/>
              <w:rPr>
                <w:rFonts w:ascii="Times New Roman" w:hAnsi="Times New Roman" w:cs="Times New Roman"/>
              </w:rPr>
            </w:pPr>
          </w:p>
        </w:tc>
      </w:tr>
      <w:tr w:rsidR="48210A6B" w:rsidRPr="009744B2" w14:paraId="6F757200" w14:textId="77777777" w:rsidTr="33E20BB8">
        <w:trPr>
          <w:trHeight w:val="300"/>
          <w:jc w:val="center"/>
        </w:trPr>
        <w:tc>
          <w:tcPr>
            <w:tcW w:w="3175" w:type="dxa"/>
            <w:shd w:val="clear" w:color="auto" w:fill="F2F2F2" w:themeFill="background1" w:themeFillShade="F2"/>
          </w:tcPr>
          <w:p w14:paraId="24D4953D" w14:textId="59115F08" w:rsidR="48210A6B" w:rsidRPr="009744B2" w:rsidRDefault="48210A6B" w:rsidP="00861DAB">
            <w:pPr>
              <w:spacing w:line="259" w:lineRule="auto"/>
              <w:ind w:left="-20"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5A242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EIN:</w:t>
            </w:r>
          </w:p>
        </w:tc>
        <w:tc>
          <w:tcPr>
            <w:tcW w:w="6270" w:type="dxa"/>
          </w:tcPr>
          <w:p w14:paraId="1CC008D8" w14:textId="7AC8A826" w:rsidR="48210A6B" w:rsidRPr="009744B2" w:rsidRDefault="48210A6B" w:rsidP="00861DAB">
            <w:pPr>
              <w:spacing w:line="259" w:lineRule="auto"/>
              <w:ind w:left="-20" w:right="241"/>
              <w:jc w:val="both"/>
              <w:rPr>
                <w:rStyle w:val="eop"/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83F93" w:rsidRPr="009744B2" w14:paraId="058E318C" w14:textId="77777777" w:rsidTr="33E20BB8">
        <w:trPr>
          <w:trHeight w:val="300"/>
          <w:jc w:val="center"/>
        </w:trPr>
        <w:tc>
          <w:tcPr>
            <w:tcW w:w="3175" w:type="dxa"/>
            <w:shd w:val="clear" w:color="auto" w:fill="F2F2F2" w:themeFill="background1" w:themeFillShade="F2"/>
          </w:tcPr>
          <w:p w14:paraId="4FF77AB9" w14:textId="0712048C" w:rsidR="00F83F93" w:rsidRPr="55A242B7" w:rsidRDefault="00F83F93" w:rsidP="00861DAB">
            <w:pPr>
              <w:ind w:left="-20" w:right="2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ERC Quarters:</w:t>
            </w:r>
          </w:p>
        </w:tc>
        <w:tc>
          <w:tcPr>
            <w:tcW w:w="6270" w:type="dxa"/>
          </w:tcPr>
          <w:p w14:paraId="642BF621" w14:textId="7EE7B848" w:rsidR="00F83F93" w:rsidRPr="009744B2" w:rsidRDefault="00F83F93" w:rsidP="00861DAB">
            <w:pPr>
              <w:ind w:left="-20" w:right="241"/>
              <w:jc w:val="both"/>
              <w:rPr>
                <w:rStyle w:val="eop"/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48210A6B" w:rsidRPr="009744B2" w14:paraId="261E0A79" w14:textId="77777777" w:rsidTr="33E20BB8">
        <w:trPr>
          <w:trHeight w:val="300"/>
          <w:jc w:val="center"/>
        </w:trPr>
        <w:tc>
          <w:tcPr>
            <w:tcW w:w="9445" w:type="dxa"/>
            <w:gridSpan w:val="2"/>
          </w:tcPr>
          <w:p w14:paraId="64DA83B9" w14:textId="763EF5A5" w:rsidR="48210A6B" w:rsidRPr="009744B2" w:rsidRDefault="48210A6B" w:rsidP="00861DAB">
            <w:pPr>
              <w:spacing w:line="259" w:lineRule="auto"/>
              <w:ind w:left="-20"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F4B08" w:rsidRPr="009744B2" w14:paraId="34CA2FBE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2AAAB5C7" w14:textId="73E9F05A" w:rsidR="006F4B08" w:rsidRDefault="006F4B08" w:rsidP="00861DAB">
            <w:pPr>
              <w:spacing w:line="259" w:lineRule="auto"/>
              <w:ind w:left="-20"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Any governmental order to suspend the employer’s business operations.</w:t>
            </w:r>
            <w:r w:rsidR="00C313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5F33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For </w:t>
            </w:r>
            <w:r w:rsidR="002F7F97">
              <w:rPr>
                <w:rFonts w:ascii="Times New Roman" w:eastAsia="Times New Roman" w:hAnsi="Times New Roman" w:cs="Times New Roman"/>
                <w:color w:val="000000" w:themeColor="text1"/>
              </w:rPr>
              <w:t>each quarter</w:t>
            </w:r>
            <w:r w:rsidR="005F33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where </w:t>
            </w:r>
            <w:r w:rsidR="005D74ED">
              <w:rPr>
                <w:rFonts w:ascii="Times New Roman" w:eastAsia="Times New Roman" w:hAnsi="Times New Roman" w:cs="Times New Roman"/>
                <w:color w:val="000000" w:themeColor="text1"/>
              </w:rPr>
              <w:t>your basis of eligibility was full or partial shutdowns due to government orders, l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>ist and attach/link all applicable governmental orders)</w:t>
            </w:r>
          </w:p>
        </w:tc>
      </w:tr>
      <w:tr w:rsidR="48210A6B" w:rsidRPr="009744B2" w14:paraId="22336555" w14:textId="77777777" w:rsidTr="33E20BB8">
        <w:trPr>
          <w:trHeight w:val="300"/>
          <w:jc w:val="center"/>
        </w:trPr>
        <w:tc>
          <w:tcPr>
            <w:tcW w:w="9445" w:type="dxa"/>
            <w:gridSpan w:val="2"/>
          </w:tcPr>
          <w:p w14:paraId="171B35B0" w14:textId="77777777" w:rsidR="008E4571" w:rsidRDefault="008E4571" w:rsidP="00861DAB">
            <w:pPr>
              <w:ind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632EEAC" w14:textId="0AFF4D32" w:rsidR="00794A97" w:rsidRDefault="00794A97" w:rsidP="00861DAB">
            <w:pPr>
              <w:ind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F4B08" w:rsidRPr="009744B2" w14:paraId="51DD898E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53488192" w14:textId="6F68FDA7" w:rsidR="006F4B08" w:rsidRPr="006F4B08" w:rsidRDefault="006F4B08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F4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Any records the employer relied upon to determine whether more than a nominal portion of its operations were suspended due to a governmental order or whether a governmental order had more than a nominal effect on its business operations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 w:rsidR="00C313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313EB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F32B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For </w:t>
            </w:r>
            <w:r w:rsidR="002F7F97">
              <w:rPr>
                <w:rFonts w:ascii="Times New Roman" w:eastAsia="Times New Roman" w:hAnsi="Times New Roman" w:cs="Times New Roman"/>
                <w:color w:val="000000" w:themeColor="text1"/>
              </w:rPr>
              <w:t>each quarter</w:t>
            </w:r>
            <w:r w:rsidR="00F32B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where your basis of eligibility was full or partial shutdowns due to government orders, i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>nsert list and supporting explanation for why the order(s) suspended more than nominal portion of client’s operations and/or why the order(s) had more than a nominal effect on client’s business operations</w:t>
            </w:r>
            <w:r w:rsidR="00C313EB">
              <w:rPr>
                <w:rFonts w:ascii="Times New Roman" w:eastAsia="Times New Roman" w:hAnsi="Times New Roman" w:cs="Times New Roman"/>
                <w:color w:val="000000" w:themeColor="text1"/>
              </w:rPr>
              <w:t>. P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lease see </w:t>
            </w:r>
            <w:r w:rsidR="00C313EB">
              <w:rPr>
                <w:rFonts w:ascii="Times New Roman" w:eastAsia="Times New Roman" w:hAnsi="Times New Roman" w:cs="Times New Roman"/>
                <w:color w:val="000000" w:themeColor="text1"/>
              </w:rPr>
              <w:t>IRS FAQ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on “more than nominal impact” </w:t>
            </w:r>
            <w:hyperlink r:id="rId10" w:anchor="eligibility" w:history="1">
              <w:r w:rsidR="00C313EB" w:rsidRPr="00C313EB">
                <w:rPr>
                  <w:rStyle w:val="Hyperlink"/>
                  <w:rFonts w:ascii="Times New Roman" w:eastAsia="Times New Roman" w:hAnsi="Times New Roman" w:cs="Times New Roman"/>
                </w:rPr>
                <w:t>HERE.</w:t>
              </w:r>
            </w:hyperlink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48210A6B" w:rsidRPr="009744B2" w14:paraId="2F4401B9" w14:textId="77777777" w:rsidTr="33E20BB8">
        <w:trPr>
          <w:trHeight w:val="300"/>
          <w:jc w:val="center"/>
        </w:trPr>
        <w:tc>
          <w:tcPr>
            <w:tcW w:w="9445" w:type="dxa"/>
            <w:gridSpan w:val="2"/>
          </w:tcPr>
          <w:p w14:paraId="3C8ECDEF" w14:textId="12FA7CA2" w:rsidR="0051552F" w:rsidRDefault="0051552F" w:rsidP="00861DAB">
            <w:pPr>
              <w:spacing w:line="257" w:lineRule="auto"/>
              <w:ind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D41F531" w14:textId="7CEE9DCF" w:rsidR="008E4571" w:rsidRDefault="008E4571" w:rsidP="00861DAB">
            <w:pPr>
              <w:spacing w:line="257" w:lineRule="auto"/>
              <w:ind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F4B08" w:rsidRPr="009744B2" w14:paraId="161797D1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5C0DA68D" w14:textId="1B249180" w:rsidR="006F4B08" w:rsidRDefault="006F4B08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Any records the employer used to determine it had experienced a significant decline in gross receipts.</w:t>
            </w:r>
            <w:r w:rsidR="00C313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313EB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D128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For </w:t>
            </w:r>
            <w:r w:rsidR="00331763">
              <w:rPr>
                <w:rFonts w:ascii="Times New Roman" w:eastAsia="Times New Roman" w:hAnsi="Times New Roman" w:cs="Times New Roman"/>
                <w:color w:val="000000" w:themeColor="text1"/>
              </w:rPr>
              <w:t>each</w:t>
            </w:r>
            <w:r w:rsidR="00D128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quarter where </w:t>
            </w:r>
            <w:r w:rsidR="004D64DE">
              <w:rPr>
                <w:rFonts w:ascii="Times New Roman" w:eastAsia="Times New Roman" w:hAnsi="Times New Roman" w:cs="Times New Roman"/>
                <w:color w:val="000000" w:themeColor="text1"/>
              </w:rPr>
              <w:t>your basis of eligibility was a significant decline in gross receipts</w:t>
            </w:r>
            <w:proofErr w:type="gramStart"/>
            <w:r w:rsidR="00331763">
              <w:rPr>
                <w:rFonts w:ascii="Times New Roman" w:eastAsia="Times New Roman" w:hAnsi="Times New Roman" w:cs="Times New Roman"/>
                <w:color w:val="000000" w:themeColor="text1"/>
              </w:rPr>
              <w:t>, a</w:t>
            </w:r>
            <w:r w:rsidR="00C313EB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>ttach</w:t>
            </w:r>
            <w:proofErr w:type="gramEnd"/>
            <w:r w:rsidR="00C313EB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gross receipt comparisons and </w:t>
            </w:r>
            <w:proofErr w:type="gramStart"/>
            <w:r w:rsidR="00C313EB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>supporting</w:t>
            </w:r>
            <w:proofErr w:type="gramEnd"/>
            <w:r w:rsidR="00C313EB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P&amp;Ls showing how the Company meets </w:t>
            </w:r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>the ERC gross receipts qualification requirements</w:t>
            </w:r>
            <w:r w:rsidR="00331763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F1420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="004F1420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lease see </w:t>
            </w:r>
            <w:r w:rsidR="004F1420">
              <w:rPr>
                <w:rFonts w:ascii="Times New Roman" w:eastAsia="Times New Roman" w:hAnsi="Times New Roman" w:cs="Times New Roman"/>
                <w:color w:val="000000" w:themeColor="text1"/>
              </w:rPr>
              <w:t>IRS FAQ</w:t>
            </w:r>
            <w:r w:rsidR="004F1420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on</w:t>
            </w:r>
            <w:r w:rsidR="004F14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the gross receipts test</w:t>
            </w:r>
            <w:r w:rsidR="004F1420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hyperlink r:id="rId11" w:anchor="eligibility" w:history="1">
              <w:r w:rsidR="00912709">
                <w:rPr>
                  <w:rStyle w:val="Hyperlink"/>
                  <w:rFonts w:ascii="Times New Roman" w:eastAsia="Times New Roman" w:hAnsi="Times New Roman" w:cs="Times New Roman"/>
                </w:rPr>
                <w:t>HERE</w:t>
              </w:r>
            </w:hyperlink>
            <w:r w:rsidR="00912709">
              <w:t>.</w:t>
            </w:r>
            <w:r w:rsidR="004F1420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48210A6B" w:rsidRPr="009744B2" w14:paraId="37A67D1E" w14:textId="77777777" w:rsidTr="33E20BB8">
        <w:trPr>
          <w:trHeight w:val="300"/>
          <w:jc w:val="center"/>
        </w:trPr>
        <w:tc>
          <w:tcPr>
            <w:tcW w:w="9445" w:type="dxa"/>
            <w:gridSpan w:val="2"/>
          </w:tcPr>
          <w:p w14:paraId="76A85FFF" w14:textId="77777777" w:rsidR="008E4571" w:rsidRDefault="008E4571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8DC1247" w14:textId="51065ADE" w:rsidR="55A242B7" w:rsidRDefault="55A242B7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F4B08" w:rsidRPr="009744B2" w14:paraId="7C8D44BA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4D1E1CD4" w14:textId="0C105CB8" w:rsidR="006F4B08" w:rsidRPr="006F4B08" w:rsidRDefault="006F4B08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F4B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Any records of which employees received qualified wages and in what amounts.</w:t>
            </w:r>
            <w:r w:rsidR="00C313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>(Insert a narrative explaining how you determined the employees that received “qualified wages” [</w:t>
            </w:r>
            <w:r w:rsidR="00C313EB">
              <w:rPr>
                <w:rFonts w:ascii="Times New Roman" w:eastAsia="Times New Roman" w:hAnsi="Times New Roman" w:cs="Times New Roman"/>
                <w:color w:val="000000" w:themeColor="text1"/>
              </w:rPr>
              <w:t>P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lease see IRS FAQ on qualified </w:t>
            </w:r>
            <w:r w:rsidR="00C313EB">
              <w:rPr>
                <w:rFonts w:ascii="Times New Roman" w:eastAsia="Times New Roman" w:hAnsi="Times New Roman" w:cs="Times New Roman"/>
                <w:color w:val="000000" w:themeColor="text1"/>
              </w:rPr>
              <w:t>wages</w:t>
            </w:r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hyperlink r:id="rId12" w:anchor="qualified" w:history="1">
              <w:r w:rsidR="00C313EB" w:rsidRPr="00C313EB">
                <w:rPr>
                  <w:rStyle w:val="Hyperlink"/>
                  <w:rFonts w:ascii="Times New Roman" w:eastAsia="Times New Roman" w:hAnsi="Times New Roman" w:cs="Times New Roman"/>
                </w:rPr>
                <w:t xml:space="preserve">HERE. </w:t>
              </w:r>
            </w:hyperlink>
            <w:r w:rsidR="00C313EB" w:rsidRPr="00C313EB">
              <w:rPr>
                <w:rFonts w:ascii="Times New Roman" w:eastAsia="Times New Roman" w:hAnsi="Times New Roman" w:cs="Times New Roman"/>
                <w:color w:val="000000" w:themeColor="text1"/>
              </w:rPr>
              <w:t>] and how amounts were calculated.)</w:t>
            </w:r>
          </w:p>
        </w:tc>
      </w:tr>
      <w:tr w:rsidR="48210A6B" w:rsidRPr="009744B2" w14:paraId="0CD5B690" w14:textId="77777777" w:rsidTr="33E20BB8">
        <w:trPr>
          <w:trHeight w:val="300"/>
          <w:jc w:val="center"/>
        </w:trPr>
        <w:tc>
          <w:tcPr>
            <w:tcW w:w="9445" w:type="dxa"/>
            <w:gridSpan w:val="2"/>
          </w:tcPr>
          <w:p w14:paraId="60E6080F" w14:textId="77777777" w:rsidR="008E4571" w:rsidRDefault="008E4571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8FF41A" w14:textId="14FA6669" w:rsidR="55A242B7" w:rsidRDefault="55A242B7" w:rsidP="00861DAB">
            <w:pPr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F4B08" w:rsidRPr="009744B2" w14:paraId="4FE84E7F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5C0B43DF" w14:textId="0076C3E5" w:rsidR="006F4B08" w:rsidRPr="0023450C" w:rsidRDefault="0023450C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34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 the case of a large eligible employer, work records and documentation showing that wages were paid for time an employee was not providing services.</w:t>
            </w:r>
            <w:r w:rsidR="00113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(If you are not a large eligible employer [please see IRS FAQ on large eligible </w:t>
            </w:r>
            <w:r w:rsidR="00113AF0">
              <w:rPr>
                <w:rFonts w:ascii="Times New Roman" w:eastAsia="Times New Roman" w:hAnsi="Times New Roman" w:cs="Times New Roman"/>
                <w:color w:val="000000" w:themeColor="text1"/>
              </w:rPr>
              <w:t>employers</w:t>
            </w:r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hyperlink r:id="rId13" w:anchor="qualified" w:history="1">
              <w:r w:rsidR="00113AF0" w:rsidRPr="00113AF0">
                <w:rPr>
                  <w:rStyle w:val="Hyperlink"/>
                  <w:rFonts w:ascii="Times New Roman" w:eastAsia="Times New Roman" w:hAnsi="Times New Roman" w:cs="Times New Roman"/>
                </w:rPr>
                <w:t xml:space="preserve">HERE. </w:t>
              </w:r>
            </w:hyperlink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>], state “Not Applicable” along with an explanation of why you are not a large eligible employer; if you are a large eligible employer, state: “The work records and documentation showing that wages were paid for time each claimed employee was not providing services are attached” and provide supporting records and documentation.)</w:t>
            </w:r>
          </w:p>
        </w:tc>
      </w:tr>
      <w:tr w:rsidR="48210A6B" w:rsidRPr="009744B2" w14:paraId="48EB4118" w14:textId="77777777" w:rsidTr="33E20BB8">
        <w:trPr>
          <w:trHeight w:val="375"/>
          <w:jc w:val="center"/>
        </w:trPr>
        <w:tc>
          <w:tcPr>
            <w:tcW w:w="9445" w:type="dxa"/>
            <w:gridSpan w:val="2"/>
            <w:shd w:val="clear" w:color="auto" w:fill="FFFFFF" w:themeFill="background1"/>
          </w:tcPr>
          <w:p w14:paraId="1D50620E" w14:textId="77777777" w:rsidR="008E4571" w:rsidRDefault="008E4571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6BA492C" w14:textId="77777777" w:rsidR="003172DE" w:rsidRDefault="003172DE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D521F4A" w14:textId="7C361006" w:rsidR="0074642C" w:rsidRDefault="0074642C" w:rsidP="00861DAB">
            <w:pPr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3450C" w:rsidRPr="009744B2" w14:paraId="021A660B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787E350C" w14:textId="657AF9FF" w:rsidR="0023450C" w:rsidRPr="0023450C" w:rsidRDefault="0023450C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234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Documentation </w:t>
            </w:r>
            <w:proofErr w:type="gramStart"/>
            <w:r w:rsidRPr="00234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 show</w:t>
            </w:r>
            <w:proofErr w:type="gramEnd"/>
            <w:r w:rsidRPr="00234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how the employer determined the amount of allocable qualified health plan expenses.</w:t>
            </w:r>
            <w:r w:rsidR="00113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(Please see IRS </w:t>
            </w:r>
            <w:r w:rsidR="0085053B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>otice 2021-20 for information on qualified health plan expenses</w:t>
            </w:r>
            <w:r w:rsidR="00113A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hyperlink r:id="rId14" w:anchor="NOT-2021-20" w:history="1">
              <w:r w:rsidR="00113AF0" w:rsidRPr="00113AF0">
                <w:rPr>
                  <w:rStyle w:val="Hyperlink"/>
                  <w:rFonts w:ascii="Times New Roman" w:eastAsia="Times New Roman" w:hAnsi="Times New Roman" w:cs="Times New Roman"/>
                </w:rPr>
                <w:t>HERE.</w:t>
              </w:r>
            </w:hyperlink>
            <w:r w:rsidR="00113AF0" w:rsidRPr="00113AF0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48210A6B" w:rsidRPr="009744B2" w14:paraId="66250559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FFFFF" w:themeFill="background1"/>
          </w:tcPr>
          <w:p w14:paraId="1656C5F0" w14:textId="77777777" w:rsidR="00794A97" w:rsidRDefault="00794A97" w:rsidP="003172DE">
            <w:pPr>
              <w:pStyle w:val="paragraph"/>
              <w:ind w:right="241"/>
              <w:rPr>
                <w:color w:val="000000" w:themeColor="text1"/>
              </w:rPr>
            </w:pPr>
          </w:p>
          <w:p w14:paraId="7C08AA2F" w14:textId="7117D397" w:rsidR="003172DE" w:rsidRDefault="003172DE" w:rsidP="003172DE">
            <w:pPr>
              <w:pStyle w:val="paragraph"/>
              <w:ind w:right="241"/>
              <w:rPr>
                <w:color w:val="000000" w:themeColor="text1"/>
              </w:rPr>
            </w:pPr>
          </w:p>
        </w:tc>
      </w:tr>
      <w:tr w:rsidR="0023450C" w:rsidRPr="009744B2" w14:paraId="4AA7495D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1CC85380" w14:textId="0A75EC87" w:rsidR="009E4E47" w:rsidRPr="009E4E47" w:rsidRDefault="0023450C" w:rsidP="009E4E47">
            <w:pPr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Documentation related to the determination of whether the employer is a member of an aggregated group treated as a single employer for purposes of the employee retention credit and, if so, how the aggregation affects the determination and allocation of the credit.</w:t>
            </w:r>
            <w:r w:rsidR="009E4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E4E47"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(Please see IRS Notice 2021-20 for information on aggregated groups </w:t>
            </w:r>
            <w:hyperlink r:id="rId15" w:anchor="NOT-2021-20" w:history="1">
              <w:r w:rsidR="009E4E47" w:rsidRPr="009E4E47">
                <w:rPr>
                  <w:rStyle w:val="Hyperlink"/>
                  <w:rFonts w:ascii="Times New Roman" w:eastAsia="Times New Roman" w:hAnsi="Times New Roman" w:cs="Times New Roman"/>
                </w:rPr>
                <w:t>HERE.</w:t>
              </w:r>
            </w:hyperlink>
            <w:r w:rsidR="009E4E47"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14:paraId="1795DD67" w14:textId="4C38090D" w:rsidR="0023450C" w:rsidRPr="0023450C" w:rsidRDefault="0023450C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48210A6B" w:rsidRPr="009744B2" w14:paraId="6B1A798F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FFFFF" w:themeFill="background1"/>
          </w:tcPr>
          <w:p w14:paraId="1D594EFD" w14:textId="77777777" w:rsidR="008E4571" w:rsidRDefault="008E4571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AAA2E88" w14:textId="77777777" w:rsidR="55A242B7" w:rsidRDefault="55A242B7" w:rsidP="00861DAB">
            <w:pPr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4BAFF73" w14:textId="38B1C3A4" w:rsidR="003172DE" w:rsidRDefault="003172DE" w:rsidP="00861DAB">
            <w:pPr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3450C" w:rsidRPr="009744B2" w14:paraId="10EAD163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35C8E850" w14:textId="3105C743" w:rsidR="009E4E47" w:rsidRPr="009E4E47" w:rsidRDefault="0023450C" w:rsidP="009E4E47">
            <w:pPr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5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Copies of completed Forms 7200 that the employer submitted to the IRS</w:t>
            </w:r>
            <w:r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9E4E47"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(State either “None” OR </w:t>
            </w:r>
            <w:r w:rsidR="00AF3F4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attach the forms and state </w:t>
            </w:r>
            <w:r w:rsidR="009E4E47"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>“Completed Form(s) 7200 are attached.”)</w:t>
            </w:r>
          </w:p>
          <w:p w14:paraId="01938590" w14:textId="77851502" w:rsidR="0023450C" w:rsidRPr="0023450C" w:rsidRDefault="0023450C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48210A6B" w:rsidRPr="009744B2" w14:paraId="0EB459EB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FFFFF" w:themeFill="background1"/>
          </w:tcPr>
          <w:p w14:paraId="2E5B0DCA" w14:textId="77777777" w:rsidR="008E4571" w:rsidRDefault="008E4571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1A0892" w14:textId="77777777" w:rsidR="003172DE" w:rsidRDefault="003172DE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72EE46A" w14:textId="59F9FCE2" w:rsidR="55A242B7" w:rsidRDefault="55A242B7" w:rsidP="00861DAB">
            <w:pPr>
              <w:pStyle w:val="paragraph"/>
              <w:spacing w:before="0" w:beforeAutospacing="0" w:after="0" w:afterAutospacing="0"/>
              <w:ind w:right="241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270BE3" w:rsidRPr="009744B2" w14:paraId="0C4A3825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2F2F2" w:themeFill="background1" w:themeFillShade="F2"/>
          </w:tcPr>
          <w:p w14:paraId="3D98A3E0" w14:textId="4F965A98" w:rsidR="00270BE3" w:rsidRPr="001B7847" w:rsidRDefault="00270BE3" w:rsidP="001B7847">
            <w:pPr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0B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Records of information provided to the third-party payer regarding the employer’s entitlement to the credit claimed on the federal employment tax return.  Including </w:t>
            </w:r>
            <w:r w:rsidR="008C2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whether </w:t>
            </w:r>
            <w:r w:rsidRPr="00270B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the employer’s industry is consider</w:t>
            </w:r>
            <w:r w:rsidR="008C2B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</w:t>
            </w:r>
            <w:r w:rsidRPr="00270B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an essential business or not</w:t>
            </w:r>
            <w:r w:rsidR="0096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637ED"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(Please see IRS Notice 2021-20 for information on </w:t>
            </w:r>
            <w:r w:rsidR="00E92E46">
              <w:rPr>
                <w:rFonts w:ascii="Times New Roman" w:eastAsia="Times New Roman" w:hAnsi="Times New Roman" w:cs="Times New Roman"/>
                <w:color w:val="000000" w:themeColor="text1"/>
              </w:rPr>
              <w:t>essential businesses</w:t>
            </w:r>
            <w:r w:rsidR="009637ED"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hyperlink r:id="rId16" w:anchor="NOT-2021-20" w:history="1">
              <w:r w:rsidR="009637ED" w:rsidRPr="009E4E47">
                <w:rPr>
                  <w:rStyle w:val="Hyperlink"/>
                  <w:rFonts w:ascii="Times New Roman" w:eastAsia="Times New Roman" w:hAnsi="Times New Roman" w:cs="Times New Roman"/>
                </w:rPr>
                <w:t>HERE.</w:t>
              </w:r>
            </w:hyperlink>
            <w:r w:rsidR="009637ED" w:rsidRPr="009E4E47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="001B78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75815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If </w:t>
            </w:r>
            <w:r w:rsidR="00434AA9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>the</w:t>
            </w:r>
            <w:r w:rsidR="001B7847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requested</w:t>
            </w:r>
            <w:r w:rsidR="00434AA9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records are included in </w:t>
            </w:r>
            <w:r w:rsidR="00BE46DF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>the support provided for the above requests, state</w:t>
            </w:r>
            <w:r w:rsidR="00175815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“see above”</w:t>
            </w:r>
            <w:r w:rsidR="00BE46DF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175815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03BE4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>If you wish to provide additional documentation, please attach it</w:t>
            </w:r>
            <w:r w:rsidR="009637ED" w:rsidRPr="001B784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96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48210A6B" w:rsidRPr="009744B2" w14:paraId="3478386D" w14:textId="77777777" w:rsidTr="33E20BB8">
        <w:trPr>
          <w:trHeight w:val="300"/>
          <w:jc w:val="center"/>
        </w:trPr>
        <w:tc>
          <w:tcPr>
            <w:tcW w:w="9445" w:type="dxa"/>
            <w:gridSpan w:val="2"/>
            <w:shd w:val="clear" w:color="auto" w:fill="FFFFFF" w:themeFill="background1"/>
          </w:tcPr>
          <w:p w14:paraId="2D48E467" w14:textId="77777777" w:rsidR="008E4571" w:rsidRDefault="008E4571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9414DA" w14:textId="77777777" w:rsidR="003172DE" w:rsidRDefault="003172DE" w:rsidP="00861DAB">
            <w:pPr>
              <w:spacing w:line="259" w:lineRule="auto"/>
              <w:ind w:right="24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6F3BBE" w14:textId="0E506C26" w:rsidR="007609C0" w:rsidRDefault="007609C0" w:rsidP="00861DAB">
            <w:pPr>
              <w:ind w:right="24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B09A184" w14:textId="20D57765" w:rsidR="005C3AB9" w:rsidRPr="009744B2" w:rsidRDefault="005C3AB9" w:rsidP="55A242B7">
      <w:pPr>
        <w:rPr>
          <w:rFonts w:ascii="Times New Roman" w:hAnsi="Times New Roman" w:cs="Times New Roman"/>
        </w:rPr>
      </w:pPr>
    </w:p>
    <w:p w14:paraId="2C078E63" w14:textId="3CA51F5A" w:rsidR="00D61CA9" w:rsidRPr="009744B2" w:rsidRDefault="00D61CA9" w:rsidP="48210A6B">
      <w:pPr>
        <w:rPr>
          <w:rFonts w:ascii="Times New Roman" w:hAnsi="Times New Roman" w:cs="Times New Roman"/>
        </w:rPr>
      </w:pPr>
    </w:p>
    <w:sectPr w:rsidR="00D61CA9" w:rsidRPr="009744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F6AA" w14:textId="77777777" w:rsidR="006B0455" w:rsidRDefault="006B0455" w:rsidP="00270BE3">
      <w:pPr>
        <w:spacing w:after="0" w:line="240" w:lineRule="auto"/>
      </w:pPr>
      <w:r>
        <w:separator/>
      </w:r>
    </w:p>
  </w:endnote>
  <w:endnote w:type="continuationSeparator" w:id="0">
    <w:p w14:paraId="4FD5F035" w14:textId="77777777" w:rsidR="006B0455" w:rsidRDefault="006B0455" w:rsidP="0027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642B" w14:textId="77777777" w:rsidR="00215E24" w:rsidRDefault="00215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939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924B1" w14:textId="6E7A06A9" w:rsidR="00861DAB" w:rsidRDefault="00861D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74E68" w14:textId="77777777" w:rsidR="00794A97" w:rsidRDefault="00794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65DA" w14:textId="77777777" w:rsidR="00215E24" w:rsidRDefault="00215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307" w14:textId="77777777" w:rsidR="006B0455" w:rsidRDefault="006B0455" w:rsidP="00270BE3">
      <w:pPr>
        <w:spacing w:after="0" w:line="240" w:lineRule="auto"/>
      </w:pPr>
      <w:r>
        <w:separator/>
      </w:r>
    </w:p>
  </w:footnote>
  <w:footnote w:type="continuationSeparator" w:id="0">
    <w:p w14:paraId="352740AB" w14:textId="77777777" w:rsidR="006B0455" w:rsidRDefault="006B0455" w:rsidP="0027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E10E" w14:textId="77777777" w:rsidR="00215E24" w:rsidRDefault="00215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F0FE" w14:textId="77777777" w:rsidR="00215E24" w:rsidRDefault="00215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7776" w14:textId="77777777" w:rsidR="00215E24" w:rsidRDefault="00215E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A4Nj2RYO">
      <int2:state int2:value="Rejected" int2:type="AugLoop_Text_Critique"/>
    </int2:textHash>
    <int2:textHash int2:hashCode="qI2RJULhFeCVoo" int2:id="xE1MxHT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45150"/>
    <w:rsid w:val="0003351F"/>
    <w:rsid w:val="000649B9"/>
    <w:rsid w:val="0007125B"/>
    <w:rsid w:val="000B5BB7"/>
    <w:rsid w:val="000D562E"/>
    <w:rsid w:val="00103BE4"/>
    <w:rsid w:val="00107895"/>
    <w:rsid w:val="00113AF0"/>
    <w:rsid w:val="00150752"/>
    <w:rsid w:val="00171CB9"/>
    <w:rsid w:val="00172602"/>
    <w:rsid w:val="00175815"/>
    <w:rsid w:val="0018097B"/>
    <w:rsid w:val="001A4ABC"/>
    <w:rsid w:val="001B27EA"/>
    <w:rsid w:val="001B7847"/>
    <w:rsid w:val="001E2665"/>
    <w:rsid w:val="001F2681"/>
    <w:rsid w:val="002073AB"/>
    <w:rsid w:val="00211489"/>
    <w:rsid w:val="00214D5D"/>
    <w:rsid w:val="00215E24"/>
    <w:rsid w:val="0023450C"/>
    <w:rsid w:val="00242763"/>
    <w:rsid w:val="002705FC"/>
    <w:rsid w:val="00270BE3"/>
    <w:rsid w:val="002B4881"/>
    <w:rsid w:val="002E75C6"/>
    <w:rsid w:val="002F7F97"/>
    <w:rsid w:val="0030701C"/>
    <w:rsid w:val="003172DE"/>
    <w:rsid w:val="0032452E"/>
    <w:rsid w:val="00331763"/>
    <w:rsid w:val="003503DD"/>
    <w:rsid w:val="00351B64"/>
    <w:rsid w:val="00397BA6"/>
    <w:rsid w:val="004274C5"/>
    <w:rsid w:val="00434AA9"/>
    <w:rsid w:val="00461D79"/>
    <w:rsid w:val="00474FA3"/>
    <w:rsid w:val="004761DB"/>
    <w:rsid w:val="004A32BC"/>
    <w:rsid w:val="004B1A7A"/>
    <w:rsid w:val="004C37DA"/>
    <w:rsid w:val="004D4E64"/>
    <w:rsid w:val="004D5CFB"/>
    <w:rsid w:val="004D64DE"/>
    <w:rsid w:val="004D6879"/>
    <w:rsid w:val="004E27FD"/>
    <w:rsid w:val="004E3C02"/>
    <w:rsid w:val="004F0E63"/>
    <w:rsid w:val="004F1420"/>
    <w:rsid w:val="0051552F"/>
    <w:rsid w:val="00520768"/>
    <w:rsid w:val="0053088D"/>
    <w:rsid w:val="005373AF"/>
    <w:rsid w:val="00547796"/>
    <w:rsid w:val="005900B1"/>
    <w:rsid w:val="005C3AB9"/>
    <w:rsid w:val="005D74ED"/>
    <w:rsid w:val="005F33DC"/>
    <w:rsid w:val="0060686B"/>
    <w:rsid w:val="00665715"/>
    <w:rsid w:val="0066779A"/>
    <w:rsid w:val="0067680E"/>
    <w:rsid w:val="00687565"/>
    <w:rsid w:val="006B0455"/>
    <w:rsid w:val="006D0501"/>
    <w:rsid w:val="006F4B08"/>
    <w:rsid w:val="00703CA0"/>
    <w:rsid w:val="007100DF"/>
    <w:rsid w:val="007170E9"/>
    <w:rsid w:val="0074642C"/>
    <w:rsid w:val="007609C0"/>
    <w:rsid w:val="007611BB"/>
    <w:rsid w:val="00780E7C"/>
    <w:rsid w:val="007920E1"/>
    <w:rsid w:val="00794A97"/>
    <w:rsid w:val="007958EE"/>
    <w:rsid w:val="007B25B6"/>
    <w:rsid w:val="00811683"/>
    <w:rsid w:val="008423F2"/>
    <w:rsid w:val="00847C10"/>
    <w:rsid w:val="0085053B"/>
    <w:rsid w:val="00861DAB"/>
    <w:rsid w:val="008942B8"/>
    <w:rsid w:val="008C2BDF"/>
    <w:rsid w:val="008D4544"/>
    <w:rsid w:val="008E4571"/>
    <w:rsid w:val="00912709"/>
    <w:rsid w:val="00920BBD"/>
    <w:rsid w:val="0094091A"/>
    <w:rsid w:val="009409FD"/>
    <w:rsid w:val="00942ACE"/>
    <w:rsid w:val="009637ED"/>
    <w:rsid w:val="009744B2"/>
    <w:rsid w:val="009853CC"/>
    <w:rsid w:val="00997F44"/>
    <w:rsid w:val="009A3879"/>
    <w:rsid w:val="009A3AE2"/>
    <w:rsid w:val="009C37B6"/>
    <w:rsid w:val="009C74C1"/>
    <w:rsid w:val="009E4E47"/>
    <w:rsid w:val="009E6DC2"/>
    <w:rsid w:val="009F654C"/>
    <w:rsid w:val="00A27F75"/>
    <w:rsid w:val="00A575A5"/>
    <w:rsid w:val="00A91C79"/>
    <w:rsid w:val="00AA5545"/>
    <w:rsid w:val="00AF0529"/>
    <w:rsid w:val="00AF3F42"/>
    <w:rsid w:val="00AF54E1"/>
    <w:rsid w:val="00B16699"/>
    <w:rsid w:val="00B43109"/>
    <w:rsid w:val="00B472DC"/>
    <w:rsid w:val="00B54D02"/>
    <w:rsid w:val="00B6187E"/>
    <w:rsid w:val="00B61C92"/>
    <w:rsid w:val="00B73FCE"/>
    <w:rsid w:val="00BB31C1"/>
    <w:rsid w:val="00BC77F0"/>
    <w:rsid w:val="00BD4E2F"/>
    <w:rsid w:val="00BE46DF"/>
    <w:rsid w:val="00BF68F8"/>
    <w:rsid w:val="00C01604"/>
    <w:rsid w:val="00C313EB"/>
    <w:rsid w:val="00C62F34"/>
    <w:rsid w:val="00C64FC9"/>
    <w:rsid w:val="00CD6BDB"/>
    <w:rsid w:val="00CF07FC"/>
    <w:rsid w:val="00CF494C"/>
    <w:rsid w:val="00D1264D"/>
    <w:rsid w:val="00D12820"/>
    <w:rsid w:val="00D4503A"/>
    <w:rsid w:val="00D55FAF"/>
    <w:rsid w:val="00D600C3"/>
    <w:rsid w:val="00D61CA9"/>
    <w:rsid w:val="00D81DDD"/>
    <w:rsid w:val="00D864A9"/>
    <w:rsid w:val="00DB713E"/>
    <w:rsid w:val="00DC49EC"/>
    <w:rsid w:val="00DD1643"/>
    <w:rsid w:val="00DE5AB2"/>
    <w:rsid w:val="00DE5CAF"/>
    <w:rsid w:val="00E21D41"/>
    <w:rsid w:val="00E21F52"/>
    <w:rsid w:val="00E25845"/>
    <w:rsid w:val="00E25D76"/>
    <w:rsid w:val="00E370CB"/>
    <w:rsid w:val="00E758CB"/>
    <w:rsid w:val="00E802AE"/>
    <w:rsid w:val="00E92E46"/>
    <w:rsid w:val="00EB3B3F"/>
    <w:rsid w:val="00EB7170"/>
    <w:rsid w:val="00EC7F85"/>
    <w:rsid w:val="00F10A3E"/>
    <w:rsid w:val="00F32B5F"/>
    <w:rsid w:val="00F41EA3"/>
    <w:rsid w:val="00F4423D"/>
    <w:rsid w:val="00F526E1"/>
    <w:rsid w:val="00F54843"/>
    <w:rsid w:val="00F57EE6"/>
    <w:rsid w:val="00F83F93"/>
    <w:rsid w:val="00FA1EAB"/>
    <w:rsid w:val="00FC2DAF"/>
    <w:rsid w:val="00FF480F"/>
    <w:rsid w:val="020F4CD8"/>
    <w:rsid w:val="02B583CC"/>
    <w:rsid w:val="03C77AC2"/>
    <w:rsid w:val="0463A441"/>
    <w:rsid w:val="04E40D39"/>
    <w:rsid w:val="050138FC"/>
    <w:rsid w:val="06F122C5"/>
    <w:rsid w:val="071E0A2D"/>
    <w:rsid w:val="079B4503"/>
    <w:rsid w:val="083B6694"/>
    <w:rsid w:val="0890E9DA"/>
    <w:rsid w:val="0C20DA78"/>
    <w:rsid w:val="0D4C8BEE"/>
    <w:rsid w:val="0EF17204"/>
    <w:rsid w:val="1041AEA1"/>
    <w:rsid w:val="10E9C5C9"/>
    <w:rsid w:val="133993D5"/>
    <w:rsid w:val="13C4762F"/>
    <w:rsid w:val="14EDFF48"/>
    <w:rsid w:val="15109AA2"/>
    <w:rsid w:val="15615F2E"/>
    <w:rsid w:val="15C45150"/>
    <w:rsid w:val="169B7FBD"/>
    <w:rsid w:val="17E6297B"/>
    <w:rsid w:val="1C5A0C34"/>
    <w:rsid w:val="1D4782FE"/>
    <w:rsid w:val="1E3F2FD1"/>
    <w:rsid w:val="1F516742"/>
    <w:rsid w:val="1FF18068"/>
    <w:rsid w:val="212A7BAD"/>
    <w:rsid w:val="21A07D2A"/>
    <w:rsid w:val="22B1FA78"/>
    <w:rsid w:val="2408561E"/>
    <w:rsid w:val="241381B0"/>
    <w:rsid w:val="24AB52B8"/>
    <w:rsid w:val="24BE7F53"/>
    <w:rsid w:val="24CE5CEC"/>
    <w:rsid w:val="25BC0425"/>
    <w:rsid w:val="26EA4C17"/>
    <w:rsid w:val="280D1883"/>
    <w:rsid w:val="2B7DE192"/>
    <w:rsid w:val="2BB28921"/>
    <w:rsid w:val="2C6E53C7"/>
    <w:rsid w:val="2DD66625"/>
    <w:rsid w:val="2DF904CF"/>
    <w:rsid w:val="2E2643C3"/>
    <w:rsid w:val="2EBD919F"/>
    <w:rsid w:val="2EFCA888"/>
    <w:rsid w:val="2EFE525C"/>
    <w:rsid w:val="2FAFBE46"/>
    <w:rsid w:val="3095C605"/>
    <w:rsid w:val="30AD4313"/>
    <w:rsid w:val="312BA978"/>
    <w:rsid w:val="314E6F8A"/>
    <w:rsid w:val="32A4CC59"/>
    <w:rsid w:val="32CFF249"/>
    <w:rsid w:val="32E75F08"/>
    <w:rsid w:val="32FE67F5"/>
    <w:rsid w:val="3311FA0D"/>
    <w:rsid w:val="33336D69"/>
    <w:rsid w:val="33E20BB8"/>
    <w:rsid w:val="33F65CC3"/>
    <w:rsid w:val="349A3856"/>
    <w:rsid w:val="358163AD"/>
    <w:rsid w:val="363608B7"/>
    <w:rsid w:val="3672AE4B"/>
    <w:rsid w:val="36C5EAE2"/>
    <w:rsid w:val="36FA2740"/>
    <w:rsid w:val="37763CCF"/>
    <w:rsid w:val="37A1A7CE"/>
    <w:rsid w:val="39C34774"/>
    <w:rsid w:val="3B602C6E"/>
    <w:rsid w:val="3C2FDFFC"/>
    <w:rsid w:val="3D613582"/>
    <w:rsid w:val="3E7A2825"/>
    <w:rsid w:val="3F1651A4"/>
    <w:rsid w:val="3F204028"/>
    <w:rsid w:val="3F372968"/>
    <w:rsid w:val="401B489F"/>
    <w:rsid w:val="405928E4"/>
    <w:rsid w:val="40859390"/>
    <w:rsid w:val="40AF0BDD"/>
    <w:rsid w:val="40BAC739"/>
    <w:rsid w:val="4214B80A"/>
    <w:rsid w:val="42329DAC"/>
    <w:rsid w:val="43E261FE"/>
    <w:rsid w:val="443201E7"/>
    <w:rsid w:val="449A69A8"/>
    <w:rsid w:val="46A6B7DC"/>
    <w:rsid w:val="4797D97E"/>
    <w:rsid w:val="48210A6B"/>
    <w:rsid w:val="4A304DC7"/>
    <w:rsid w:val="4A4983EC"/>
    <w:rsid w:val="4C590585"/>
    <w:rsid w:val="4C886F9C"/>
    <w:rsid w:val="4CAD23F4"/>
    <w:rsid w:val="4D793200"/>
    <w:rsid w:val="4E4D1812"/>
    <w:rsid w:val="4EE693D2"/>
    <w:rsid w:val="4FB475ED"/>
    <w:rsid w:val="50A4BDC3"/>
    <w:rsid w:val="51369B2E"/>
    <w:rsid w:val="514F2EA5"/>
    <w:rsid w:val="5230900B"/>
    <w:rsid w:val="52565CB0"/>
    <w:rsid w:val="55A242B7"/>
    <w:rsid w:val="5633C0D4"/>
    <w:rsid w:val="56436173"/>
    <w:rsid w:val="56F89E86"/>
    <w:rsid w:val="5710BE05"/>
    <w:rsid w:val="57E7E10D"/>
    <w:rsid w:val="58B02C2F"/>
    <w:rsid w:val="58E71424"/>
    <w:rsid w:val="595DB957"/>
    <w:rsid w:val="59C35F12"/>
    <w:rsid w:val="5A4BEC09"/>
    <w:rsid w:val="5B336A70"/>
    <w:rsid w:val="5B7875D3"/>
    <w:rsid w:val="5BF79E43"/>
    <w:rsid w:val="5C0B6064"/>
    <w:rsid w:val="5C25E41B"/>
    <w:rsid w:val="5C29D5BE"/>
    <w:rsid w:val="5CE7485C"/>
    <w:rsid w:val="5E610E50"/>
    <w:rsid w:val="5F4FEA4C"/>
    <w:rsid w:val="5F7FCDD7"/>
    <w:rsid w:val="5FA4269A"/>
    <w:rsid w:val="600B8E6F"/>
    <w:rsid w:val="60741B66"/>
    <w:rsid w:val="60FE72AC"/>
    <w:rsid w:val="61DED081"/>
    <w:rsid w:val="623F1E51"/>
    <w:rsid w:val="63176D39"/>
    <w:rsid w:val="631F8EBE"/>
    <w:rsid w:val="6352460E"/>
    <w:rsid w:val="63B5B193"/>
    <w:rsid w:val="63C3F164"/>
    <w:rsid w:val="63CC24EC"/>
    <w:rsid w:val="63DAEEB2"/>
    <w:rsid w:val="6441EE89"/>
    <w:rsid w:val="65292124"/>
    <w:rsid w:val="6577D495"/>
    <w:rsid w:val="66444AB5"/>
    <w:rsid w:val="6648AE5F"/>
    <w:rsid w:val="665E7C1D"/>
    <w:rsid w:val="6674216F"/>
    <w:rsid w:val="66C0990E"/>
    <w:rsid w:val="684566E5"/>
    <w:rsid w:val="68BF8CC0"/>
    <w:rsid w:val="6A634A82"/>
    <w:rsid w:val="6A853213"/>
    <w:rsid w:val="6AA3F88E"/>
    <w:rsid w:val="6C6A1EB5"/>
    <w:rsid w:val="6CA46004"/>
    <w:rsid w:val="6D217957"/>
    <w:rsid w:val="6D53504A"/>
    <w:rsid w:val="6E034B3E"/>
    <w:rsid w:val="6E7533E1"/>
    <w:rsid w:val="6EECE693"/>
    <w:rsid w:val="7007DDB9"/>
    <w:rsid w:val="700CC17D"/>
    <w:rsid w:val="700EB6A9"/>
    <w:rsid w:val="7099526C"/>
    <w:rsid w:val="7125F194"/>
    <w:rsid w:val="71AA870A"/>
    <w:rsid w:val="71E1ECE4"/>
    <w:rsid w:val="7507BCD1"/>
    <w:rsid w:val="77880B17"/>
    <w:rsid w:val="79F0125D"/>
    <w:rsid w:val="7AE6B033"/>
    <w:rsid w:val="7B6AE170"/>
    <w:rsid w:val="7BA277FD"/>
    <w:rsid w:val="7C164D73"/>
    <w:rsid w:val="7C41E0F9"/>
    <w:rsid w:val="7F1FDCA9"/>
    <w:rsid w:val="7F7C48B8"/>
    <w:rsid w:val="7F7E31E8"/>
    <w:rsid w:val="7F91D712"/>
    <w:rsid w:val="7FE48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45150"/>
  <w15:chartTrackingRefBased/>
  <w15:docId w15:val="{DA5F1EEB-58D9-4D64-AE84-EAB7C7D4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150752"/>
  </w:style>
  <w:style w:type="character" w:customStyle="1" w:styleId="eop">
    <w:name w:val="eop"/>
    <w:basedOn w:val="DefaultParagraphFont"/>
    <w:rsid w:val="00150752"/>
  </w:style>
  <w:style w:type="paragraph" w:customStyle="1" w:styleId="paragraph">
    <w:name w:val="paragraph"/>
    <w:basedOn w:val="Normal"/>
    <w:rsid w:val="00F4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4B1A7A"/>
  </w:style>
  <w:style w:type="paragraph" w:styleId="Revision">
    <w:name w:val="Revision"/>
    <w:hidden/>
    <w:uiPriority w:val="99"/>
    <w:semiHidden/>
    <w:rsid w:val="004A32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89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575A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7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E3"/>
  </w:style>
  <w:style w:type="paragraph" w:styleId="Footer">
    <w:name w:val="footer"/>
    <w:basedOn w:val="Normal"/>
    <w:link w:val="FooterChar"/>
    <w:uiPriority w:val="99"/>
    <w:unhideWhenUsed/>
    <w:rsid w:val="0027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E3"/>
  </w:style>
  <w:style w:type="character" w:styleId="Hyperlink">
    <w:name w:val="Hyperlink"/>
    <w:basedOn w:val="DefaultParagraphFont"/>
    <w:uiPriority w:val="99"/>
    <w:unhideWhenUsed/>
    <w:rsid w:val="00C31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3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rs.gov/coronavirus/frequently-asked-questions-about-the-employee-retention-cred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irs.gov/coronavirus/frequently-asked-questions-about-the-employee-retention-credit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rs.gov/irb/2021-11_IR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rs.gov/coronavirus/frequently-asked-questions-about-the-employee-retention-credi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rs.gov/irb/2021-11_IR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rs.gov/coronavirus/frequently-asked-questions-about-the-employee-retention-credit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irs.gov/irb/2021-11_IRB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6DE85EC3324E933AD61ADA25EEC2" ma:contentTypeVersion="21" ma:contentTypeDescription="Create a new document." ma:contentTypeScope="" ma:versionID="eb1088b828704f305edef4a132ed9890">
  <xsd:schema xmlns:xsd="http://www.w3.org/2001/XMLSchema" xmlns:xs="http://www.w3.org/2001/XMLSchema" xmlns:p="http://schemas.microsoft.com/office/2006/metadata/properties" xmlns:ns2="74f0e9b0-ee55-4152-85a1-221ba089a78f" xmlns:ns3="82e510a4-8cab-45bd-8080-b2040f969f71" targetNamespace="http://schemas.microsoft.com/office/2006/metadata/properties" ma:root="true" ma:fieldsID="3c7974ededb67d41b9b7786f890bd12b" ns2:_="" ns3:_="">
    <xsd:import namespace="74f0e9b0-ee55-4152-85a1-221ba089a78f"/>
    <xsd:import namespace="82e510a4-8cab-45bd-8080-b2040f969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Status" minOccurs="0"/>
                <xsd:element ref="ns2:Du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9b0-ee55-4152-85a1-221ba089a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43b45-0b4b-4301-8d0d-5bee7fefd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New"/>
          <xsd:enumeration value="In Process"/>
          <xsd:enumeration value="In Process - Priority"/>
          <xsd:enumeration value="No IDR Yet"/>
          <xsd:enumeration value="Inactive"/>
          <xsd:enumeration value="All IDRs Submitted"/>
          <xsd:enumeration value="Closed"/>
        </xsd:restriction>
      </xsd:simpleType>
    </xsd:element>
    <xsd:element name="DueDate" ma:index="24" nillable="true" ma:displayName="DueDate" ma:format="DateOnly" ma:internalName="DueDate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510a4-8cab-45bd-8080-b2040f969f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817f12-1556-4ae7-a4b4-ad19ea6d283a}" ma:internalName="TaxCatchAll" ma:showField="CatchAllData" ma:web="82e510a4-8cab-45bd-8080-b2040f9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roperties xmlns="http://www.imanage.com/work/xmlschema">
  <documentid>ACTIVE!522613292.1</documentid>
  <senderid>LIANDERSON</senderid>
  <senderemail>LEIF.ANDERSON@HKLAW.COM</senderemail>
  <lastmodified>2025-05-30T17:56:00.0000000-04:00</lastmodified>
  <database>ACTIVE</database>
</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0e9b0-ee55-4152-85a1-221ba089a78f">
      <Terms xmlns="http://schemas.microsoft.com/office/infopath/2007/PartnerControls"/>
    </lcf76f155ced4ddcb4097134ff3c332f>
    <TaxCatchAll xmlns="82e510a4-8cab-45bd-8080-b2040f969f71" xsi:nil="true"/>
    <Status xmlns="74f0e9b0-ee55-4152-85a1-221ba089a78f" xsi:nil="true"/>
    <DueDate xmlns="74f0e9b0-ee55-4152-85a1-221ba089a78f" xsi:nil="true"/>
  </documentManagement>
</p:properties>
</file>

<file path=customXml/itemProps1.xml><?xml version="1.0" encoding="utf-8"?>
<ds:datastoreItem xmlns:ds="http://schemas.openxmlformats.org/officeDocument/2006/customXml" ds:itemID="{39E7E294-5644-4909-95E8-D15E0D314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0e9b0-ee55-4152-85a1-221ba089a78f"/>
    <ds:schemaRef ds:uri="82e510a4-8cab-45bd-8080-b2040f969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740FD-4C91-4C91-9EC0-0D9705A22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B90FA-0560-4F34-ACCE-B307CE791BB8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88E54E91-EEDF-4691-93BE-203C763442DC}">
  <ds:schemaRefs>
    <ds:schemaRef ds:uri="http://schemas.microsoft.com/office/2006/metadata/properties"/>
    <ds:schemaRef ds:uri="http://schemas.microsoft.com/office/infopath/2007/PartnerControls"/>
    <ds:schemaRef ds:uri="74f0e9b0-ee55-4152-85a1-221ba089a78f"/>
    <ds:schemaRef ds:uri="82e510a4-8cab-45bd-8080-b2040f969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2841</Characters>
  <Application>Microsoft Office Word</Application>
  <DocSecurity>0</DocSecurity>
  <Lines>77</Lines>
  <Paragraphs>16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Murphy</dc:creator>
  <cp:keywords/>
  <dc:description/>
  <cp:lastModifiedBy>Erin Adero</cp:lastModifiedBy>
  <cp:revision>2</cp:revision>
  <dcterms:created xsi:type="dcterms:W3CDTF">2025-10-20T13:20:00Z</dcterms:created>
  <dcterms:modified xsi:type="dcterms:W3CDTF">2025-10-20T13:20:00Z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0x010100356F6DE85EC3324E933AD61ADA25EEC2</vt:lpwstr>
  </property>
  <property fmtid="{D5CDD505-2E9C-101B-9397-08002B2CF9AE}" pid="3" name="MediaServiceImageTags">
    <vt:lpwstr/>
  </property>
  <property fmtid="{D5CDD505-2E9C-101B-9397-08002B2CF9AE}" pid="4" name="DocumentNumber">
    <vt:lpwstr>522613292</vt:lpwstr>
  </property>
  <property fmtid="{D5CDD505-2E9C-101B-9397-08002B2CF9AE}" pid="5" name="DocumentVersion">
    <vt:lpwstr>1</vt:lpwstr>
  </property>
  <property fmtid="{D5CDD505-2E9C-101B-9397-08002B2CF9AE}" pid="6" name="ClientNumber">
    <vt:lpwstr>233828</vt:lpwstr>
  </property>
  <property fmtid="{D5CDD505-2E9C-101B-9397-08002B2CF9AE}" pid="7" name="MatterNumber">
    <vt:lpwstr>00004</vt:lpwstr>
  </property>
  <property fmtid="{D5CDD505-2E9C-101B-9397-08002B2CF9AE}" pid="8" name="ClientName">
    <vt:lpwstr>Barrett Business Services, Inc</vt:lpwstr>
  </property>
  <property fmtid="{D5CDD505-2E9C-101B-9397-08002B2CF9AE}" pid="9" name="MatterName">
    <vt:lpwstr>ERC tax audit</vt:lpwstr>
  </property>
  <property fmtid="{D5CDD505-2E9C-101B-9397-08002B2CF9AE}" pid="10" name="DatabaseName">
    <vt:lpwstr>ACTIVE</vt:lpwstr>
  </property>
  <property fmtid="{D5CDD505-2E9C-101B-9397-08002B2CF9AE}" pid="11" name="TypistName">
    <vt:lpwstr>LIANDERSON</vt:lpwstr>
  </property>
  <property fmtid="{D5CDD505-2E9C-101B-9397-08002B2CF9AE}" pid="12" name="AuthorName">
    <vt:lpwstr>LIANDERSON</vt:lpwstr>
  </property>
  <property fmtid="{D5CDD505-2E9C-101B-9397-08002B2CF9AE}" pid="13" name="InUseBy">
    <vt:lpwstr>LIANDERSON</vt:lpwstr>
  </property>
  <property fmtid="{D5CDD505-2E9C-101B-9397-08002B2CF9AE}" pid="14" name="EditDate">
    <vt:lpwstr>5/30/2025 9:49:12 PM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</Properties>
</file>